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3</w:t>
      </w:r>
      <w:r>
        <w:rPr>
          <w:sz w:val="24"/>
          <w:szCs w:val="24"/>
        </w:rPr>
        <w:tab/>
      </w:r>
      <w:r>
        <w:rPr>
          <w:sz w:val="24"/>
          <w:szCs w:val="24"/>
        </w:rPr>
        <w:t>R2-2</w:t>
      </w:r>
      <w:r>
        <w:rPr>
          <w:rFonts w:hint="eastAsia" w:eastAsia="宋体"/>
          <w:sz w:val="24"/>
          <w:szCs w:val="24"/>
          <w:lang w:val="en-US" w:eastAsia="zh-CN"/>
        </w:rPr>
        <w:t>308098</w:t>
      </w:r>
    </w:p>
    <w:p>
      <w:pPr>
        <w:pStyle w:val="33"/>
        <w:tabs>
          <w:tab w:val="left" w:pos="1701"/>
          <w:tab w:val="right" w:pos="9923"/>
        </w:tabs>
        <w:rPr>
          <w:sz w:val="24"/>
          <w:szCs w:val="24"/>
        </w:rPr>
      </w:pPr>
      <w:r>
        <w:rPr>
          <w:rFonts w:hint="eastAsia" w:eastAsia="宋体"/>
          <w:sz w:val="24"/>
          <w:szCs w:val="24"/>
          <w:lang w:val="en-US" w:eastAsia="zh-CN"/>
        </w:rPr>
        <w:t>Toulouse</w:t>
      </w:r>
      <w:r>
        <w:rPr>
          <w:sz w:val="24"/>
          <w:szCs w:val="24"/>
        </w:rPr>
        <w:t xml:space="preserve">, </w:t>
      </w:r>
      <w:r>
        <w:rPr>
          <w:rFonts w:hint="eastAsia" w:eastAsia="宋体"/>
          <w:sz w:val="24"/>
          <w:szCs w:val="24"/>
          <w:lang w:val="en-US" w:eastAsia="zh-CN"/>
        </w:rPr>
        <w:t>France</w:t>
      </w:r>
      <w:r>
        <w:rPr>
          <w:sz w:val="24"/>
          <w:szCs w:val="24"/>
        </w:rPr>
        <w:t xml:space="preserve">, </w:t>
      </w:r>
      <w:r>
        <w:rPr>
          <w:rFonts w:hint="eastAsia" w:eastAsia="宋体"/>
          <w:sz w:val="24"/>
          <w:szCs w:val="24"/>
          <w:lang w:val="en-US" w:eastAsia="zh-CN"/>
        </w:rPr>
        <w:t>August</w:t>
      </w:r>
      <w:r>
        <w:rPr>
          <w:sz w:val="24"/>
          <w:szCs w:val="24"/>
        </w:rPr>
        <w:t xml:space="preserve"> 2</w:t>
      </w:r>
      <w:r>
        <w:rPr>
          <w:rFonts w:hint="eastAsia" w:eastAsia="宋体"/>
          <w:sz w:val="24"/>
          <w:szCs w:val="24"/>
          <w:lang w:val="en-US" w:eastAsia="zh-CN"/>
        </w:rPr>
        <w:t>1</w:t>
      </w:r>
      <w:r>
        <w:rPr>
          <w:sz w:val="24"/>
          <w:szCs w:val="24"/>
        </w:rPr>
        <w:t>-2</w:t>
      </w:r>
      <w:r>
        <w:rPr>
          <w:rFonts w:hint="eastAsia" w:eastAsia="宋体"/>
          <w:sz w:val="24"/>
          <w:szCs w:val="24"/>
          <w:lang w:val="en-US" w:eastAsia="zh-CN"/>
        </w:rPr>
        <w:t>5</w:t>
      </w:r>
      <w:r>
        <w:rPr>
          <w:sz w:val="24"/>
          <w:szCs w:val="24"/>
        </w:rPr>
        <w:t>,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 for</w:t>
      </w:r>
      <w:r>
        <w:rPr>
          <w:rFonts w:hint="default" w:ascii="Arial" w:hAnsi="Arial" w:cs="Arial"/>
          <w:b/>
          <w:bCs w:val="0"/>
          <w:sz w:val="24"/>
          <w:szCs w:val="24"/>
          <w:lang w:val="en-US" w:eastAsia="zh-CN"/>
        </w:rPr>
        <w:t xml:space="preserve"> </w:t>
      </w:r>
      <w:r>
        <w:rPr>
          <w:rFonts w:hint="default" w:ascii="Arial" w:hAnsi="Arial" w:cs="Arial"/>
          <w:b/>
          <w:bCs w:val="0"/>
          <w:sz w:val="24"/>
          <w:szCs w:val="24"/>
        </w:rPr>
        <w:t>Idle/Inactive mode</w:t>
      </w:r>
      <w:r>
        <w:rPr>
          <w:rFonts w:hint="default" w:ascii="Arial" w:hAnsi="Arial" w:cs="Arial"/>
          <w:b/>
          <w:bCs w:val="0"/>
          <w:sz w:val="24"/>
          <w:szCs w:val="24"/>
          <w:lang w:val="en-US" w:eastAsia="zh-CN"/>
        </w:rPr>
        <w:t xml:space="preserve"> UE</w:t>
      </w:r>
    </w:p>
    <w:p>
      <w:pPr>
        <w:tabs>
          <w:tab w:val="left" w:pos="1985"/>
        </w:tabs>
        <w:jc w:val="both"/>
        <w:rPr>
          <w:rStyle w:val="160"/>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2.2</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spacing w:before="156" w:beforeLines="50"/>
        <w:jc w:val="both"/>
        <w:rPr>
          <w:lang w:val="en-US" w:eastAsia="zh-CN"/>
        </w:rPr>
      </w:pPr>
      <w:r>
        <w:rPr>
          <w:rFonts w:hint="eastAsia"/>
          <w:lang w:val="en-US" w:eastAsia="zh-CN"/>
        </w:rPr>
        <w:t>During RAN2#1</w:t>
      </w:r>
      <w:r>
        <w:rPr>
          <w:lang w:val="en-US" w:eastAsia="zh-CN"/>
        </w:rPr>
        <w:t>2</w:t>
      </w:r>
      <w:r>
        <w:rPr>
          <w:rFonts w:hint="eastAsia"/>
          <w:lang w:val="en-US" w:eastAsia="zh-CN"/>
        </w:rPr>
        <w:t xml:space="preserve">2 meeting, the mobility enhancemets for </w:t>
      </w:r>
      <w:r>
        <w:rPr>
          <w:rFonts w:hint="eastAsia" w:ascii="Times New Roman" w:hAnsi="Times New Roman" w:cs="Times New Roman"/>
          <w:b w:val="0"/>
          <w:bCs w:val="0"/>
          <w:sz w:val="20"/>
          <w:szCs w:val="20"/>
          <w:lang w:val="en-US" w:eastAsia="zh-CN"/>
        </w:rPr>
        <w:t>Idle/Inactive mode UE</w:t>
      </w:r>
      <w:r>
        <w:rPr>
          <w:rFonts w:hint="eastAsia"/>
          <w:lang w:val="en-US" w:eastAsia="zh-CN"/>
        </w:rPr>
        <w:t xml:space="preserve"> was discussed and the following agreement was reached: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Borders>
              <w:top w:val="single" w:color="auto" w:sz="4" w:space="0"/>
              <w:left w:val="single" w:color="auto" w:sz="4" w:space="0"/>
              <w:bottom w:val="single" w:color="auto" w:sz="4" w:space="0"/>
              <w:right w:val="single" w:color="auto" w:sz="4" w:space="0"/>
            </w:tcBorders>
          </w:tcPr>
          <w:p>
            <w:pPr>
              <w:pStyle w:val="108"/>
              <w:numPr>
                <w:ilvl w:val="0"/>
                <w:numId w:val="0"/>
              </w:numPr>
              <w:rPr>
                <w:b w:val="0"/>
                <w:bCs/>
                <w:lang w:eastAsia="zh-CN"/>
              </w:rPr>
            </w:pPr>
            <w:r>
              <w:rPr>
                <w:b w:val="0"/>
                <w:bCs/>
                <w:lang w:eastAsia="zh-CN"/>
              </w:rPr>
              <w:t>R2 considers that UEs can use the mIAB-cell indication, to prioritize (cell and/or freq)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pPr>
              <w:pStyle w:val="72"/>
              <w:ind w:left="0" w:leftChars="0" w:firstLine="0" w:firstLineChars="0"/>
              <w:rPr>
                <w:b w:val="0"/>
                <w:bCs/>
              </w:rPr>
            </w:pPr>
          </w:p>
          <w:p>
            <w:pPr>
              <w:pStyle w:val="108"/>
              <w:numPr>
                <w:ilvl w:val="0"/>
                <w:numId w:val="0"/>
              </w:numPr>
              <w:rPr>
                <w:b w:val="0"/>
                <w:bCs/>
              </w:rPr>
            </w:pPr>
            <w:r>
              <w:rPr>
                <w:b w:val="0"/>
                <w:bCs/>
              </w:rPr>
              <w:t>R2 direction (solution agreements at later stage, no other directions will be considered):</w:t>
            </w:r>
          </w:p>
          <w:p>
            <w:pPr>
              <w:pStyle w:val="108"/>
              <w:numPr>
                <w:ilvl w:val="0"/>
                <w:numId w:val="0"/>
              </w:numPr>
              <w:ind w:firstLine="400" w:firstLineChars="200"/>
              <w:rPr>
                <w:b w:val="0"/>
                <w:bCs/>
              </w:rPr>
            </w:pPr>
            <w:r>
              <w:rPr>
                <w:b w:val="0"/>
                <w:bCs/>
              </w:rPr>
              <w:t>RAN2 acknowledges following two problems to be addressed for idle/inactive UEs:</w:t>
            </w:r>
          </w:p>
          <w:p>
            <w:pPr>
              <w:pStyle w:val="108"/>
              <w:numPr>
                <w:ilvl w:val="0"/>
                <w:numId w:val="0"/>
              </w:numPr>
              <w:ind w:firstLine="600" w:firstLineChars="300"/>
              <w:rPr>
                <w:b w:val="0"/>
                <w:bCs/>
                <w:lang w:val="en-US" w:eastAsia="zh-CN"/>
              </w:rPr>
            </w:pPr>
            <w:r>
              <w:rPr>
                <w:b w:val="0"/>
                <w:bCs/>
                <w:lang w:val="en-US" w:eastAsia="zh-CN"/>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pPr>
              <w:pStyle w:val="108"/>
              <w:numPr>
                <w:ilvl w:val="0"/>
                <w:numId w:val="0"/>
              </w:numPr>
              <w:ind w:firstLine="600" w:firstLineChars="300"/>
              <w:rPr>
                <w:b w:val="0"/>
                <w:bCs/>
                <w:lang w:eastAsia="zh-CN"/>
              </w:rPr>
            </w:pPr>
            <w:r>
              <w:rPr>
                <w:b w:val="0"/>
                <w:bCs/>
                <w:lang w:eastAsia="zh-CN"/>
              </w:rPr>
              <w:t>- Problem 2: After the UE physically on a moving vehicle is camped on the mobile IAB cell, how to avoid it reselecting other non-mIAB-(stationary) cells.</w:t>
            </w:r>
          </w:p>
          <w:p>
            <w:pPr>
              <w:pStyle w:val="108"/>
              <w:numPr>
                <w:ilvl w:val="0"/>
                <w:numId w:val="0"/>
              </w:numPr>
              <w:ind w:firstLine="600" w:firstLineChars="300"/>
              <w:rPr>
                <w:rFonts w:ascii="CG Times (WN)" w:hAnsi="CG Times (WN)" w:eastAsia="Batang"/>
              </w:rPr>
            </w:pPr>
            <w:r>
              <w:rPr>
                <w:b w:val="0"/>
                <w:bCs/>
              </w:rPr>
              <w:t>- Such UE may prioritize a highest ranked cell at a frequency, if it broadcasts a mIAB-cell type indicator in SIB1 for cell reselection. UE may use the SIB4 assistance information to identify the presence of such mobile IAB-cell(s), if broadcasted. A SIB4 assistance information may include mIAB-cell frequencies. FFS on stage-2/3 to clarify the UE in problem 1 and 2.</w:t>
            </w:r>
          </w:p>
        </w:tc>
      </w:tr>
    </w:tbl>
    <w:p>
      <w:pPr>
        <w:spacing w:before="156" w:beforeLines="50"/>
        <w:jc w:val="both"/>
        <w:rPr>
          <w:lang w:eastAsia="zh-CN"/>
        </w:rPr>
      </w:pPr>
      <w:r>
        <w:rPr>
          <w:rFonts w:hint="eastAsia"/>
          <w:lang w:val="en-US" w:eastAsia="zh-CN"/>
        </w:rPr>
        <w:t xml:space="preserve">In this paper, we discuss the two identified problems for RRC idle/inactive UE and present our point of view. </w:t>
      </w:r>
      <w:r>
        <w:rPr>
          <w:rFonts w:hint="eastAsia"/>
        </w:rPr>
        <w:t xml:space="preserve"> </w:t>
      </w:r>
    </w:p>
    <w:p>
      <w:pPr>
        <w:pStyle w:val="2"/>
        <w:jc w:val="both"/>
        <w:rPr>
          <w:rFonts w:hint="eastAsia" w:eastAsia="宋体"/>
          <w:lang w:eastAsia="zh-CN"/>
        </w:rPr>
      </w:pPr>
      <w:r>
        <w:rPr>
          <w:rFonts w:hint="eastAsia" w:eastAsia="宋体"/>
          <w:lang w:eastAsia="zh-CN"/>
        </w:rPr>
        <w:t>Discussion</w:t>
      </w:r>
    </w:p>
    <w:p>
      <w:pPr>
        <w:rPr>
          <w:rFonts w:hint="default"/>
          <w:lang w:val="en-US" w:eastAsia="zh-CN"/>
        </w:rPr>
      </w:pPr>
      <w:r>
        <w:rPr>
          <w:rFonts w:hint="eastAsia"/>
          <w:lang w:val="en-US" w:eastAsia="zh-CN"/>
        </w:rPr>
        <w:t>During the last RAN2 meeting, the following two problems are identified for the RRC Idle/Inactive UE</w:t>
      </w:r>
      <w:r>
        <w:rPr>
          <w:rFonts w:hint="default"/>
          <w:lang w:val="en-US" w:eastAsia="zh-CN"/>
        </w:rPr>
        <w:t>’</w:t>
      </w:r>
      <w:r>
        <w:rPr>
          <w:rFonts w:hint="eastAsia"/>
          <w:lang w:val="en-US" w:eastAsia="zh-CN"/>
        </w:rPr>
        <w:t>s cell re-selection:</w:t>
      </w:r>
    </w:p>
    <w:p>
      <w:pPr>
        <w:pStyle w:val="108"/>
        <w:numPr>
          <w:ilvl w:val="0"/>
          <w:numId w:val="13"/>
        </w:numPr>
        <w:tabs>
          <w:tab w:val="clear" w:pos="1619"/>
        </w:tabs>
        <w:ind w:left="420" w:leftChars="0" w:hanging="420" w:firstLineChars="0"/>
        <w:rPr>
          <w:b w:val="0"/>
          <w:bCs/>
          <w:lang w:val="en-US" w:eastAsia="zh-CN"/>
        </w:rPr>
      </w:pPr>
      <w:r>
        <w:rPr>
          <w:b w:val="0"/>
          <w:bCs/>
          <w:lang w:val="en-US" w:eastAsia="zh-CN"/>
        </w:rPr>
        <w:t>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pPr>
        <w:pStyle w:val="108"/>
        <w:numPr>
          <w:ilvl w:val="0"/>
          <w:numId w:val="13"/>
        </w:numPr>
        <w:tabs>
          <w:tab w:val="clear" w:pos="1619"/>
        </w:tabs>
        <w:ind w:left="420" w:leftChars="0" w:hanging="420" w:firstLineChars="0"/>
        <w:rPr>
          <w:b w:val="0"/>
          <w:bCs/>
          <w:lang w:eastAsia="zh-CN"/>
        </w:rPr>
      </w:pPr>
      <w:r>
        <w:rPr>
          <w:b w:val="0"/>
          <w:bCs/>
          <w:lang w:eastAsia="zh-CN"/>
        </w:rPr>
        <w:t>Problem 2: After the UE physically on a moving vehicle is camped on the mobile IAB cell, how to avoid it reselecting other non-mIAB-(stationary) cells.</w:t>
      </w:r>
    </w:p>
    <w:p>
      <w:pPr>
        <w:rPr>
          <w:rFonts w:hint="eastAsia"/>
          <w:lang w:eastAsia="zh-CN"/>
        </w:rPr>
      </w:pPr>
    </w:p>
    <w:p>
      <w:pPr>
        <w:jc w:val="both"/>
        <w:rPr>
          <w:rFonts w:hint="eastAsia"/>
          <w:lang w:val="en-US" w:eastAsia="zh-CN"/>
        </w:rPr>
      </w:pPr>
      <w:r>
        <w:rPr>
          <w:rFonts w:hint="eastAsia"/>
          <w:lang w:val="en-US" w:eastAsia="zh-CN"/>
        </w:rPr>
        <w:t>Before we delve into the potential solutions for the two problems, it is necessary to firstly clarify the characteristics of mobile IAB cell. As we know, w</w:t>
      </w:r>
      <w:r>
        <w:rPr>
          <w:rFonts w:hint="eastAsia"/>
        </w:rPr>
        <w:t>ith the movement of mobile IAB</w:t>
      </w:r>
      <w:r>
        <w:rPr>
          <w:rFonts w:hint="eastAsia"/>
          <w:lang w:val="en-US" w:eastAsia="zh-CN"/>
        </w:rPr>
        <w:t xml:space="preserve"> node</w:t>
      </w:r>
      <w:r>
        <w:rPr>
          <w:rFonts w:hint="eastAsia"/>
        </w:rPr>
        <w:t xml:space="preserve">, the </w:t>
      </w:r>
      <w:r>
        <w:rPr>
          <w:rFonts w:hint="eastAsia"/>
          <w:lang w:val="en-US" w:eastAsia="zh-CN"/>
        </w:rPr>
        <w:t xml:space="preserve">mobile IAB-MT may perform HO from one parent cell to another parent cell. Along with the HO of mobile IAB-MT, the working frequency, radio resources and even PCI of collocated mobile IAB cell may be reconfigured by the donor CU correspondingly. It means that there is no dedicated working frequency and PCI for mobile IAB cell and it is hard to pre-configure one or more frequency layer for the mobile IAB operation. </w:t>
      </w:r>
    </w:p>
    <w:p>
      <w:pPr>
        <w:jc w:val="both"/>
        <w:rPr>
          <w:rFonts w:hint="default"/>
          <w:b w:val="0"/>
          <w:bCs w:val="0"/>
          <w:lang w:val="en-US" w:eastAsia="zh-CN"/>
        </w:rPr>
      </w:pPr>
      <w:r>
        <w:rPr>
          <w:rFonts w:hint="eastAsia"/>
          <w:lang w:val="en-US" w:eastAsia="zh-CN"/>
        </w:rPr>
        <w:t>On the other hand, considering the mobile IAB cells are moving in nature, the surrounding stationary cells has to dynamically update its neighbour cell relation table (NCRT) if it is required to capture the occasionally appeared mobile IAB cells. To support this, the mobile IAB-DU needs to notify its cells information to donor CU via F1 interface once the mobile IAB-MT has connected or handover to donor CU. This donor CU may then notify the surrounding neighbor gNB with the updated served cell info via Xn interface. Suppose the mobile IAB-MT perform HO to a new donor CU but the mobile IAB-DU still connect to the original donor CU, it is very likely that the surrounding neighbor gNB of mobile IAB-MT</w:t>
      </w:r>
      <w:r>
        <w:rPr>
          <w:rFonts w:hint="default"/>
          <w:lang w:val="en-US" w:eastAsia="zh-CN"/>
        </w:rPr>
        <w:t>’</w:t>
      </w:r>
      <w:r>
        <w:rPr>
          <w:rFonts w:hint="eastAsia"/>
          <w:lang w:val="en-US" w:eastAsia="zh-CN"/>
        </w:rPr>
        <w:t>s donor CU has no Xn interface with the mobile IAB-DU</w:t>
      </w:r>
      <w:r>
        <w:rPr>
          <w:rFonts w:hint="default"/>
          <w:lang w:val="en-US" w:eastAsia="zh-CN"/>
        </w:rPr>
        <w:t>’</w:t>
      </w:r>
      <w:r>
        <w:rPr>
          <w:rFonts w:hint="eastAsia"/>
          <w:lang w:val="en-US" w:eastAsia="zh-CN"/>
        </w:rPr>
        <w:t>s donor CU. In this case, it can only rely on RRC connected UE to detect the PCI of mobile IAB cells and report them to the neighboring gNB. Based on the Xn configuration update or UE report of mobile IAB cell, it is possible for the surrounding neighbor gNB to update its system information of neighbor cell list to include mobile IAB cell. However, it introduces larger latency. What</w:t>
      </w:r>
      <w:r>
        <w:rPr>
          <w:rFonts w:hint="default"/>
          <w:lang w:val="en-US" w:eastAsia="zh-CN"/>
        </w:rPr>
        <w:t>’</w:t>
      </w:r>
      <w:r>
        <w:rPr>
          <w:rFonts w:hint="eastAsia"/>
          <w:lang w:val="en-US" w:eastAsia="zh-CN"/>
        </w:rPr>
        <w:t xml:space="preserve">s more, the system information may be updated again soon when the mobile IAB cell leaves this area. </w:t>
      </w:r>
      <w:r>
        <w:rPr>
          <w:rFonts w:hint="eastAsia"/>
          <w:b w:val="0"/>
          <w:bCs w:val="0"/>
          <w:lang w:val="en-US" w:eastAsia="zh-CN"/>
        </w:rPr>
        <w:t xml:space="preserve">Based on the above observations, it is inefficient for the surrounding neighbor cells to broadcast the presence of mobile IAB cells. </w:t>
      </w:r>
      <w:r>
        <w:rPr>
          <w:b w:val="0"/>
          <w:bCs/>
        </w:rPr>
        <w:t xml:space="preserve"> </w:t>
      </w:r>
    </w:p>
    <w:p>
      <w:pPr>
        <w:jc w:val="both"/>
        <w:rPr>
          <w:rFonts w:hint="default"/>
          <w:lang w:val="en-US" w:eastAsia="zh-CN"/>
        </w:rPr>
      </w:pPr>
      <w:r>
        <w:rPr>
          <w:rFonts w:hint="eastAsia"/>
          <w:b/>
          <w:bCs/>
          <w:lang w:val="en-US" w:eastAsia="zh-CN"/>
        </w:rPr>
        <w:t>Observation 1: The working frequency and PCI of mobile IAB cell may change along with the movement of mobile IAB node. It is hard to pre-configure one or more frequency layer for the mobile IAB operation.</w:t>
      </w:r>
    </w:p>
    <w:p>
      <w:pPr>
        <w:jc w:val="both"/>
        <w:rPr>
          <w:rFonts w:hint="eastAsia"/>
          <w:b/>
          <w:bCs/>
          <w:lang w:val="en-US" w:eastAsia="zh-CN"/>
        </w:rPr>
      </w:pPr>
      <w:r>
        <w:rPr>
          <w:rFonts w:hint="eastAsia"/>
          <w:b/>
          <w:bCs/>
          <w:lang w:val="en-US" w:eastAsia="zh-CN"/>
        </w:rPr>
        <w:t xml:space="preserve">Observation 2: Due to the mobile nature of mobile IAB cells, surrounding stationary cells has to dynamically update its neighbour cell relation table (NCRT) and system information if it is required capture the occasionally appeared mobile IAB cells. </w:t>
      </w:r>
    </w:p>
    <w:p>
      <w:pPr>
        <w:jc w:val="both"/>
        <w:rPr>
          <w:b/>
          <w:bCs/>
        </w:rPr>
      </w:pPr>
      <w:r>
        <w:rPr>
          <w:rFonts w:hint="eastAsia"/>
          <w:b/>
          <w:bCs/>
          <w:lang w:val="en-US" w:eastAsia="zh-CN"/>
        </w:rPr>
        <w:t xml:space="preserve">Proposal 1: Considering no dedicated working frequency and PCI for mobile IAB cell and the dynamic presence of mobile IAB cell, it is not recommended for the surrounding stationary cells to include the list of frequencies or PCIs for IAB cells in system information. </w:t>
      </w:r>
      <w:r>
        <w:rPr>
          <w:b/>
          <w:bCs/>
        </w:rPr>
        <w:t xml:space="preserve"> </w:t>
      </w:r>
    </w:p>
    <w:p>
      <w:pPr>
        <w:jc w:val="both"/>
        <w:rPr>
          <w:rFonts w:hint="eastAsia"/>
          <w:b w:val="0"/>
          <w:bCs/>
          <w:lang w:val="en-US" w:eastAsia="zh-CN"/>
        </w:rPr>
      </w:pPr>
      <w:r>
        <w:rPr>
          <w:rFonts w:hint="eastAsia"/>
          <w:lang w:val="en-US" w:eastAsia="zh-CN"/>
        </w:rPr>
        <w:t xml:space="preserve">When it comes to the problem 1, if the UE is </w:t>
      </w:r>
      <w:r>
        <w:rPr>
          <w:b w:val="0"/>
          <w:bCs/>
          <w:lang w:val="en-US" w:eastAsia="zh-CN"/>
        </w:rPr>
        <w:t>physically on a moving vehicle but not camped on its mobile IAB-cell yet (i.e. the UE is camped on a stationary cell)</w:t>
      </w:r>
      <w:r>
        <w:rPr>
          <w:rFonts w:hint="eastAsia"/>
          <w:b w:val="0"/>
          <w:bCs/>
          <w:lang w:val="en-US" w:eastAsia="zh-CN"/>
        </w:rPr>
        <w:t>, the following three cases can be considered:</w:t>
      </w:r>
    </w:p>
    <w:p>
      <w:pPr>
        <w:numPr>
          <w:ilvl w:val="0"/>
          <w:numId w:val="14"/>
        </w:numPr>
        <w:jc w:val="both"/>
        <w:rPr>
          <w:rFonts w:hint="default"/>
          <w:b w:val="0"/>
          <w:bCs/>
          <w:lang w:val="en-US" w:eastAsia="zh-CN"/>
        </w:rPr>
      </w:pPr>
      <w:r>
        <w:rPr>
          <w:rFonts w:hint="eastAsia"/>
          <w:b w:val="0"/>
          <w:bCs/>
          <w:lang w:val="en-US" w:eastAsia="zh-CN"/>
        </w:rPr>
        <w:t>Mobile IAB cell and stationary cell are of same frequency</w:t>
      </w:r>
    </w:p>
    <w:p>
      <w:pPr>
        <w:jc w:val="both"/>
        <w:rPr>
          <w:rFonts w:hint="default"/>
          <w:b w:val="0"/>
          <w:bCs/>
          <w:lang w:val="en-US" w:eastAsia="zh-CN"/>
        </w:rPr>
      </w:pPr>
      <w:r>
        <w:rPr>
          <w:rFonts w:hint="eastAsia"/>
          <w:b w:val="0"/>
          <w:bCs/>
          <w:lang w:val="en-US" w:eastAsia="zh-CN"/>
        </w:rPr>
        <w:t xml:space="preserve">In this case, if the link quality of stationary cell becomes poor, UE may </w:t>
      </w:r>
      <w:r>
        <w:rPr>
          <w:rFonts w:hint="eastAsia"/>
          <w:lang w:val="en-US" w:eastAsia="zh-CN"/>
        </w:rPr>
        <w:t xml:space="preserve">performs intra-frequency measurement and detects the mobile IAB cell. Considering that the mobile IAB cell mounted on the vehicle are closer to the UE, it is very likely that the mobile IAB cell is </w:t>
      </w:r>
      <w:r>
        <w:rPr>
          <w:rFonts w:eastAsia="Malgun Gothic"/>
        </w:rPr>
        <w:t>the highest ranked cell</w:t>
      </w:r>
      <w:r>
        <w:t xml:space="preserve"> among the cells meeting the </w:t>
      </w:r>
      <w:r>
        <w:rPr>
          <w:rFonts w:hint="eastAsia"/>
          <w:lang w:val="en-US" w:eastAsia="zh-CN"/>
        </w:rPr>
        <w:t xml:space="preserve">re-selection </w:t>
      </w:r>
      <w:r>
        <w:t>criteria</w:t>
      </w:r>
      <w:r>
        <w:rPr>
          <w:rFonts w:hint="eastAsia"/>
          <w:lang w:val="en-US" w:eastAsia="zh-CN"/>
        </w:rPr>
        <w:t xml:space="preserve">. Then UE </w:t>
      </w:r>
      <w:r>
        <w:rPr>
          <w:rFonts w:hint="eastAsia"/>
          <w:b w:val="0"/>
          <w:bCs/>
          <w:lang w:val="en-US" w:eastAsia="zh-CN"/>
        </w:rPr>
        <w:t xml:space="preserve">re-select the mobile IAB cell. </w:t>
      </w:r>
    </w:p>
    <w:p>
      <w:pPr>
        <w:numPr>
          <w:ilvl w:val="0"/>
          <w:numId w:val="14"/>
        </w:numPr>
        <w:jc w:val="both"/>
        <w:rPr>
          <w:rFonts w:hint="default"/>
          <w:b w:val="0"/>
          <w:bCs/>
          <w:lang w:val="en-US" w:eastAsia="zh-CN"/>
        </w:rPr>
      </w:pPr>
      <w:r>
        <w:rPr>
          <w:rFonts w:hint="eastAsia"/>
          <w:b w:val="0"/>
          <w:bCs/>
          <w:lang w:val="en-US" w:eastAsia="zh-CN"/>
        </w:rPr>
        <w:t>Mobile IAB cell</w:t>
      </w:r>
      <w:r>
        <w:rPr>
          <w:rFonts w:hint="default"/>
          <w:b w:val="0"/>
          <w:bCs/>
          <w:lang w:val="en-US" w:eastAsia="zh-CN"/>
        </w:rPr>
        <w:t>’</w:t>
      </w:r>
      <w:r>
        <w:rPr>
          <w:rFonts w:hint="eastAsia"/>
          <w:b w:val="0"/>
          <w:bCs/>
          <w:lang w:val="en-US" w:eastAsia="zh-CN"/>
        </w:rPr>
        <w:t>s frequency is higher than stationary cell</w:t>
      </w:r>
    </w:p>
    <w:p>
      <w:pPr>
        <w:jc w:val="both"/>
        <w:rPr>
          <w:rFonts w:hint="default"/>
          <w:b w:val="0"/>
          <w:bCs/>
          <w:lang w:val="en-US" w:eastAsia="zh-CN"/>
        </w:rPr>
      </w:pPr>
      <w:r>
        <w:rPr>
          <w:rFonts w:hint="eastAsia"/>
          <w:b w:val="0"/>
          <w:bCs/>
          <w:lang w:val="en-US" w:eastAsia="zh-CN"/>
        </w:rPr>
        <w:t xml:space="preserve">In this case, the UE will anyway </w:t>
      </w:r>
      <w:r>
        <w:t>perform measurements of higher priority NR inter-frequency</w:t>
      </w:r>
      <w:r>
        <w:rPr>
          <w:rFonts w:hint="eastAsia"/>
          <w:lang w:val="en-US" w:eastAsia="zh-CN"/>
        </w:rPr>
        <w:t xml:space="preserve">. Suppose the mobile IAB cell is </w:t>
      </w:r>
      <w:r>
        <w:rPr>
          <w:rFonts w:eastAsia="Malgun Gothic"/>
        </w:rPr>
        <w:t>the highest ranked cell</w:t>
      </w:r>
      <w:r>
        <w:t xml:space="preserve"> among the cells </w:t>
      </w:r>
      <w:r>
        <w:rPr>
          <w:rFonts w:hint="eastAsia"/>
          <w:lang w:val="en-US" w:eastAsia="zh-CN"/>
        </w:rPr>
        <w:t xml:space="preserve">of higher priority frequency </w:t>
      </w:r>
      <w:r>
        <w:t xml:space="preserve">meeting the </w:t>
      </w:r>
      <w:r>
        <w:rPr>
          <w:rFonts w:hint="eastAsia"/>
          <w:lang w:val="en-US" w:eastAsia="zh-CN"/>
        </w:rPr>
        <w:t xml:space="preserve">re-selection </w:t>
      </w:r>
      <w:r>
        <w:t>criteria</w:t>
      </w:r>
      <w:r>
        <w:rPr>
          <w:rFonts w:hint="eastAsia"/>
          <w:lang w:val="en-US" w:eastAsia="zh-CN"/>
        </w:rPr>
        <w:t xml:space="preserve">. Then UE </w:t>
      </w:r>
      <w:r>
        <w:rPr>
          <w:rFonts w:hint="eastAsia"/>
          <w:b w:val="0"/>
          <w:bCs/>
          <w:lang w:val="en-US" w:eastAsia="zh-CN"/>
        </w:rPr>
        <w:t>re-selects the mobile IAB cell.</w:t>
      </w:r>
    </w:p>
    <w:p>
      <w:pPr>
        <w:numPr>
          <w:ilvl w:val="0"/>
          <w:numId w:val="14"/>
        </w:numPr>
        <w:jc w:val="both"/>
        <w:rPr>
          <w:rFonts w:hint="default"/>
          <w:b w:val="0"/>
          <w:bCs/>
          <w:lang w:val="en-US" w:eastAsia="zh-CN"/>
        </w:rPr>
      </w:pPr>
      <w:r>
        <w:rPr>
          <w:rFonts w:hint="eastAsia"/>
          <w:b w:val="0"/>
          <w:bCs/>
          <w:lang w:val="en-US" w:eastAsia="zh-CN"/>
        </w:rPr>
        <w:t>Mobile IAB cell</w:t>
      </w:r>
      <w:r>
        <w:rPr>
          <w:rFonts w:hint="default"/>
          <w:b w:val="0"/>
          <w:bCs/>
          <w:lang w:val="en-US" w:eastAsia="zh-CN"/>
        </w:rPr>
        <w:t>’</w:t>
      </w:r>
      <w:r>
        <w:rPr>
          <w:rFonts w:hint="eastAsia"/>
          <w:b w:val="0"/>
          <w:bCs/>
          <w:lang w:val="en-US" w:eastAsia="zh-CN"/>
        </w:rPr>
        <w:t>s frequency is lower than stationary cell</w:t>
      </w:r>
    </w:p>
    <w:p>
      <w:pPr>
        <w:jc w:val="both"/>
        <w:rPr>
          <w:rFonts w:hint="default"/>
          <w:b w:val="0"/>
          <w:bCs/>
          <w:lang w:val="en-US" w:eastAsia="zh-CN"/>
        </w:rPr>
      </w:pPr>
      <w:r>
        <w:rPr>
          <w:rFonts w:hint="eastAsia"/>
          <w:b w:val="0"/>
          <w:bCs/>
          <w:lang w:val="en-US" w:eastAsia="zh-CN"/>
        </w:rPr>
        <w:t xml:space="preserve">In this case, if the link quality of stationary cell becomes poor, UE may </w:t>
      </w:r>
      <w:r>
        <w:t>perform measurements of NR inter-frequency cells of equal or lower priority</w:t>
      </w:r>
      <w:r>
        <w:rPr>
          <w:rFonts w:hint="eastAsia"/>
          <w:lang w:val="en-US" w:eastAsia="zh-CN"/>
        </w:rPr>
        <w:t xml:space="preserve">. If the UE can not detect other intra-frequency neighboring cell which meets the re-selection criteria, the UE may detect the mobile IAB cell of lower priority frequency and re-selects this mobile IAB cell. Otherwise, the mobile IAB cell will not be detected at all and the UE needs to re-select other stationary neighbor cells along with the movement of vehicles. </w:t>
      </w:r>
    </w:p>
    <w:p>
      <w:pPr>
        <w:jc w:val="both"/>
        <w:rPr>
          <w:rFonts w:hint="default"/>
          <w:lang w:val="en-US" w:eastAsia="zh-CN"/>
        </w:rPr>
      </w:pPr>
      <w:r>
        <w:rPr>
          <w:rFonts w:hint="eastAsia"/>
          <w:lang w:val="en-US" w:eastAsia="zh-CN"/>
        </w:rPr>
        <w:t>To solve this problem, it is suggested that the mobile IAB cell should be configured by donor CU with radio resource on higher priority frequency. As we mentioned before, when the mobile IAB-MT performs HO to target parent cell, the donor CU may reconfigure the radio resource/frequency/PCI of mobile IAB cell to avoid interference. It can be up to the donor CU</w:t>
      </w:r>
      <w:r>
        <w:rPr>
          <w:rFonts w:hint="default"/>
          <w:lang w:val="en-US" w:eastAsia="zh-CN"/>
        </w:rPr>
        <w:t>’</w:t>
      </w:r>
      <w:r>
        <w:rPr>
          <w:rFonts w:hint="eastAsia"/>
          <w:lang w:val="en-US" w:eastAsia="zh-CN"/>
        </w:rPr>
        <w:t xml:space="preserve">s implementation to configure radio resource on higher priority frequency for mobile IAB cell.  Suppose the mobile IAB can only be configured with radio resource on lower priority frequency, the onbaord UE </w:t>
      </w:r>
      <w:r>
        <w:rPr>
          <w:b w:val="0"/>
          <w:bCs/>
          <w:lang w:val="en-US" w:eastAsia="zh-CN"/>
        </w:rPr>
        <w:t xml:space="preserve">not camped on </w:t>
      </w:r>
      <w:r>
        <w:rPr>
          <w:rFonts w:hint="eastAsia"/>
          <w:b w:val="0"/>
          <w:bCs/>
          <w:lang w:val="en-US" w:eastAsia="zh-CN"/>
        </w:rPr>
        <w:t>the</w:t>
      </w:r>
      <w:r>
        <w:rPr>
          <w:b w:val="0"/>
          <w:bCs/>
          <w:lang w:val="en-US" w:eastAsia="zh-CN"/>
        </w:rPr>
        <w:t xml:space="preserve"> mobile IAB-cell yet</w:t>
      </w:r>
      <w:r>
        <w:rPr>
          <w:rFonts w:hint="eastAsia"/>
          <w:b w:val="0"/>
          <w:bCs/>
          <w:lang w:val="en-US" w:eastAsia="zh-CN"/>
        </w:rPr>
        <w:t xml:space="preserve"> will re-select the neighboring cells frequently. However, we think it is corner case. </w:t>
      </w:r>
    </w:p>
    <w:p>
      <w:pPr>
        <w:jc w:val="both"/>
        <w:rPr>
          <w:rFonts w:hint="eastAsia"/>
          <w:b/>
          <w:bCs/>
          <w:lang w:val="en-US" w:eastAsia="zh-CN"/>
        </w:rPr>
      </w:pPr>
      <w:r>
        <w:rPr>
          <w:rFonts w:hint="eastAsia"/>
          <w:b/>
          <w:bCs/>
          <w:lang w:val="en-US" w:eastAsia="zh-CN"/>
        </w:rPr>
        <w:t>Proposal 2: It can be up to the donor CU</w:t>
      </w:r>
      <w:r>
        <w:rPr>
          <w:rFonts w:hint="default"/>
          <w:b/>
          <w:bCs/>
          <w:lang w:val="en-US" w:eastAsia="zh-CN"/>
        </w:rPr>
        <w:t>’</w:t>
      </w:r>
      <w:r>
        <w:rPr>
          <w:rFonts w:hint="eastAsia"/>
          <w:b/>
          <w:bCs/>
          <w:lang w:val="en-US" w:eastAsia="zh-CN"/>
        </w:rPr>
        <w:t>s implementation to configure radio resource on higher or equal priority frequency for mobile IAB cell, which can address the concern in Problem 1.</w:t>
      </w:r>
    </w:p>
    <w:p>
      <w:pPr>
        <w:jc w:val="both"/>
        <w:rPr>
          <w:rFonts w:hint="default" w:eastAsia="宋体"/>
          <w:b w:val="0"/>
          <w:bCs w:val="0"/>
          <w:lang w:val="en-US" w:eastAsia="zh-CN"/>
        </w:rPr>
      </w:pPr>
      <w:r>
        <w:rPr>
          <w:rFonts w:hint="eastAsia"/>
          <w:b w:val="0"/>
          <w:bCs/>
          <w:lang w:val="en-US" w:eastAsia="zh-CN"/>
        </w:rPr>
        <w:t xml:space="preserve">With regard to </w:t>
      </w:r>
      <w:r>
        <w:rPr>
          <w:b w:val="0"/>
          <w:bCs/>
          <w:lang w:eastAsia="zh-CN"/>
        </w:rPr>
        <w:t>Problem 2</w:t>
      </w:r>
      <w:r>
        <w:rPr>
          <w:rFonts w:hint="eastAsia"/>
          <w:b w:val="0"/>
          <w:bCs/>
          <w:lang w:val="en-US" w:eastAsia="zh-CN"/>
        </w:rPr>
        <w:t>, a</w:t>
      </w:r>
      <w:r>
        <w:rPr>
          <w:b w:val="0"/>
          <w:bCs/>
          <w:lang w:eastAsia="zh-CN"/>
        </w:rPr>
        <w:t>fter the UE physically on a moving vehicle is camped on the mobile IAB cell, how to avoid it re</w:t>
      </w:r>
      <w:r>
        <w:rPr>
          <w:rFonts w:hint="eastAsia"/>
          <w:b w:val="0"/>
          <w:bCs/>
          <w:lang w:val="en-US" w:eastAsia="zh-CN"/>
        </w:rPr>
        <w:t>-</w:t>
      </w:r>
      <w:r>
        <w:rPr>
          <w:b w:val="0"/>
          <w:bCs/>
          <w:lang w:eastAsia="zh-CN"/>
        </w:rPr>
        <w:t>selecting other non-mIAB-(stationary) cells</w:t>
      </w:r>
      <w:r>
        <w:rPr>
          <w:rFonts w:hint="eastAsia"/>
          <w:b w:val="0"/>
          <w:bCs/>
          <w:lang w:val="en-US" w:eastAsia="zh-CN"/>
        </w:rPr>
        <w:t xml:space="preserve"> should be addressed</w:t>
      </w:r>
      <w:r>
        <w:rPr>
          <w:b w:val="0"/>
          <w:bCs/>
          <w:lang w:eastAsia="zh-CN"/>
        </w:rPr>
        <w:t>.</w:t>
      </w:r>
      <w:r>
        <w:rPr>
          <w:rFonts w:hint="eastAsia"/>
          <w:b w:val="0"/>
          <w:bCs/>
          <w:lang w:val="en-US" w:eastAsia="zh-CN"/>
        </w:rPr>
        <w:t xml:space="preserve"> As we know, </w:t>
      </w:r>
      <w:r>
        <w:rPr>
          <w:rFonts w:hint="eastAsia"/>
          <w:b w:val="0"/>
          <w:bCs w:val="0"/>
          <w:lang w:val="en-US" w:eastAsia="zh-CN"/>
        </w:rPr>
        <w:t xml:space="preserve">a working assumption has been reached to support UE prioritization in cell re-selection for mIAB cell(s), at least for inter-frequency cell-reselection. Actually, for </w:t>
      </w:r>
      <w:r>
        <w:rPr>
          <w:rFonts w:hint="eastAsia"/>
          <w:b w:val="0"/>
          <w:bCs w:val="0"/>
        </w:rPr>
        <w:t xml:space="preserve">the UE already camped on mobile IAB cells, in order to avoid unnecessary inter-frequency measurement with high priority, it is </w:t>
      </w:r>
      <w:r>
        <w:rPr>
          <w:rFonts w:hint="eastAsia"/>
          <w:b w:val="0"/>
          <w:bCs w:val="0"/>
          <w:lang w:val="en-US" w:eastAsia="zh-CN"/>
        </w:rPr>
        <w:t>better for the</w:t>
      </w:r>
      <w:r>
        <w:rPr>
          <w:rFonts w:hint="eastAsia"/>
          <w:b w:val="0"/>
          <w:bCs w:val="0"/>
        </w:rPr>
        <w:t xml:space="preserve"> UE </w:t>
      </w:r>
      <w:r>
        <w:rPr>
          <w:rFonts w:hint="eastAsia"/>
          <w:b w:val="0"/>
          <w:bCs w:val="0"/>
          <w:lang w:val="en-US" w:eastAsia="zh-CN"/>
        </w:rPr>
        <w:t xml:space="preserve">to </w:t>
      </w:r>
      <w:r>
        <w:rPr>
          <w:rFonts w:hint="eastAsia"/>
          <w:b w:val="0"/>
          <w:bCs w:val="0"/>
        </w:rPr>
        <w:t>regard the frequency which provide</w:t>
      </w:r>
      <w:r>
        <w:rPr>
          <w:rFonts w:hint="eastAsia"/>
          <w:b w:val="0"/>
          <w:bCs w:val="0"/>
          <w:lang w:val="en-US" w:eastAsia="zh-CN"/>
        </w:rPr>
        <w:t>s</w:t>
      </w:r>
      <w:r>
        <w:rPr>
          <w:rFonts w:hint="eastAsia"/>
          <w:b w:val="0"/>
          <w:bCs w:val="0"/>
        </w:rPr>
        <w:t xml:space="preserve"> mobile IAB cell to be the highest priority. </w:t>
      </w:r>
      <w:r>
        <w:rPr>
          <w:rFonts w:hint="eastAsia"/>
          <w:b w:val="0"/>
          <w:bCs w:val="0"/>
          <w:lang w:val="en-US" w:eastAsia="zh-CN"/>
        </w:rPr>
        <w:t xml:space="preserve">On the other hand, some companies suggest that problem 2 may be solved by mobile IAB cell broadcast its working frequency as the highest. However, this may cause the surrounding UE which is not onboard prioritize the selection of mobile IAB cell unnecessarily.  </w:t>
      </w:r>
    </w:p>
    <w:p>
      <w:pPr>
        <w:jc w:val="both"/>
        <w:rPr>
          <w:rFonts w:hint="eastAsia"/>
          <w:b w:val="0"/>
          <w:bCs/>
          <w:lang w:val="en-US" w:eastAsia="zh-CN"/>
        </w:rPr>
      </w:pPr>
      <w:r>
        <w:rPr>
          <w:rFonts w:hint="eastAsia"/>
          <w:b w:val="0"/>
          <w:bCs/>
        </w:rPr>
        <w:t>With the movement of mobile IAB, the frequency of mobile IAB cells may change</w:t>
      </w:r>
      <w:r>
        <w:rPr>
          <w:rFonts w:hint="eastAsia"/>
          <w:b w:val="0"/>
          <w:bCs/>
          <w:lang w:val="en-US" w:eastAsia="zh-CN"/>
        </w:rPr>
        <w:t xml:space="preserve"> from f1 to f2</w:t>
      </w:r>
      <w:r>
        <w:rPr>
          <w:rFonts w:hint="eastAsia"/>
          <w:b w:val="0"/>
          <w:bCs/>
        </w:rPr>
        <w:t>. From the perspective of RRC_IDLE/INACTIVE UE,</w:t>
      </w:r>
      <w:r>
        <w:rPr>
          <w:rFonts w:hint="eastAsia"/>
          <w:b w:val="0"/>
          <w:bCs/>
          <w:lang w:val="en-US" w:eastAsia="zh-CN"/>
        </w:rPr>
        <w:t xml:space="preserve"> the UE may </w:t>
      </w:r>
      <w:r>
        <w:rPr>
          <w:rFonts w:hint="eastAsia"/>
          <w:b w:val="0"/>
          <w:bCs/>
        </w:rPr>
        <w:t xml:space="preserve">no longer detect the </w:t>
      </w:r>
      <w:r>
        <w:rPr>
          <w:rFonts w:hint="eastAsia"/>
          <w:b w:val="0"/>
          <w:bCs/>
          <w:lang w:val="en-US" w:eastAsia="zh-CN"/>
        </w:rPr>
        <w:t xml:space="preserve">original </w:t>
      </w:r>
      <w:r>
        <w:rPr>
          <w:rFonts w:hint="eastAsia"/>
          <w:b w:val="0"/>
          <w:bCs/>
        </w:rPr>
        <w:t xml:space="preserve">serving </w:t>
      </w:r>
      <w:r>
        <w:rPr>
          <w:rFonts w:hint="eastAsia"/>
          <w:b w:val="0"/>
          <w:bCs/>
          <w:lang w:val="en-US" w:eastAsia="zh-CN"/>
        </w:rPr>
        <w:t xml:space="preserve">mobile IAB </w:t>
      </w:r>
      <w:r>
        <w:rPr>
          <w:rFonts w:hint="eastAsia"/>
          <w:b w:val="0"/>
          <w:bCs/>
        </w:rPr>
        <w:t xml:space="preserve">cell </w:t>
      </w:r>
      <w:r>
        <w:rPr>
          <w:rFonts w:hint="eastAsia"/>
          <w:b w:val="0"/>
          <w:bCs/>
          <w:lang w:val="en-US" w:eastAsia="zh-CN"/>
        </w:rPr>
        <w:t xml:space="preserve">or UE detects the measurement result of serving mobile IAB cell on the original frequency f1 becomes worse and lower than the given threshold. Then the UE initiates the </w:t>
      </w:r>
      <w:r>
        <w:rPr>
          <w:rFonts w:hint="eastAsia"/>
          <w:b w:val="0"/>
          <w:bCs/>
        </w:rPr>
        <w:t>intra/inter-frequency measurement.</w:t>
      </w:r>
      <w:r>
        <w:rPr>
          <w:rFonts w:hint="eastAsia"/>
          <w:b w:val="0"/>
          <w:bCs/>
          <w:lang w:val="en-US" w:eastAsia="zh-CN"/>
        </w:rPr>
        <w:t xml:space="preserve"> In this case, the UE may detect the mobile IAB cell working on frequency f2 and then re-select the mobile IAB cell on frequency f2 to camp on. </w:t>
      </w:r>
    </w:p>
    <w:p>
      <w:pPr>
        <w:jc w:val="both"/>
        <w:rPr>
          <w:rFonts w:hint="eastAsia"/>
          <w:lang w:val="en-US" w:eastAsia="zh-CN"/>
        </w:rPr>
      </w:pPr>
      <w:r>
        <w:rPr>
          <w:rFonts w:hint="eastAsia"/>
          <w:b/>
          <w:bCs/>
        </w:rPr>
        <w:t xml:space="preserve">Proposal </w:t>
      </w:r>
      <w:r>
        <w:rPr>
          <w:rFonts w:hint="eastAsia"/>
          <w:b/>
          <w:bCs/>
          <w:lang w:val="en-US" w:eastAsia="zh-CN"/>
        </w:rPr>
        <w:t>3</w:t>
      </w:r>
      <w:r>
        <w:rPr>
          <w:rFonts w:hint="eastAsia"/>
          <w:b/>
          <w:bCs/>
        </w:rPr>
        <w:t xml:space="preserve">: </w:t>
      </w:r>
      <w:r>
        <w:rPr>
          <w:rFonts w:hint="eastAsia"/>
          <w:b/>
          <w:bCs/>
          <w:lang w:val="en-US" w:eastAsia="zh-CN"/>
        </w:rPr>
        <w:t xml:space="preserve">To address the concern in Problem 2, it is suggested that </w:t>
      </w:r>
      <w:r>
        <w:rPr>
          <w:rFonts w:hint="eastAsia"/>
          <w:b/>
          <w:bCs/>
        </w:rPr>
        <w:t>UE camped on mobile IAB cell regard</w:t>
      </w:r>
      <w:r>
        <w:rPr>
          <w:rFonts w:hint="eastAsia"/>
          <w:b/>
          <w:bCs/>
          <w:lang w:val="en-US" w:eastAsia="zh-CN"/>
        </w:rPr>
        <w:t>s</w:t>
      </w:r>
      <w:r>
        <w:rPr>
          <w:rFonts w:hint="eastAsia"/>
          <w:b/>
          <w:bCs/>
        </w:rPr>
        <w:t xml:space="preserve"> the frequency which provide mobile IAB cell to be the highest priority</w:t>
      </w:r>
      <w:r>
        <w:rPr>
          <w:rFonts w:hint="eastAsia"/>
          <w:b/>
          <w:bCs/>
          <w:lang w:val="en-US" w:eastAsia="zh-CN"/>
        </w:rPr>
        <w:t xml:space="preserve"> so as t</w:t>
      </w:r>
      <w:r>
        <w:rPr>
          <w:rFonts w:hint="eastAsia"/>
          <w:b/>
          <w:bCs/>
        </w:rPr>
        <w:t>o avoid unnecessary inter-frequency measurement with high priority.</w:t>
      </w:r>
    </w:p>
    <w:p>
      <w:pPr>
        <w:jc w:val="both"/>
        <w:rPr>
          <w:rFonts w:hint="default"/>
          <w:b w:val="0"/>
          <w:bCs w:val="0"/>
          <w:lang w:val="en-US" w:eastAsia="zh-CN"/>
        </w:rPr>
      </w:pPr>
      <w:r>
        <w:rPr>
          <w:rFonts w:hint="eastAsia"/>
          <w:b w:val="0"/>
          <w:bCs w:val="0"/>
          <w:lang w:val="en-US" w:eastAsia="zh-CN"/>
        </w:rPr>
        <w:t xml:space="preserve">As we can see, the mobile-IAB cell type indication may be used by the UE to identify the mobile IAB cell, determine whether it is on-board or not, and to perform the frequency prioritization to reduce the inter-frequency measurement. Based on this observation, it is suggested to confirm that </w:t>
      </w:r>
      <w:r>
        <w:rPr>
          <w:rFonts w:hint="eastAsia" w:eastAsia="Batang"/>
          <w:b w:val="0"/>
          <w:bCs w:val="0"/>
        </w:rPr>
        <w:t>mobile-IAB cell type indication</w:t>
      </w:r>
      <w:r>
        <w:rPr>
          <w:rFonts w:hint="eastAsia"/>
          <w:b w:val="0"/>
          <w:bCs w:val="0"/>
          <w:lang w:val="en-US" w:eastAsia="zh-CN"/>
        </w:rPr>
        <w:t xml:space="preserve"> is broadcast by mobile IAB cell.</w:t>
      </w:r>
    </w:p>
    <w:p>
      <w:pPr>
        <w:jc w:val="both"/>
        <w:rPr>
          <w:b/>
          <w:bCs/>
          <w:lang w:eastAsia="zh-CN"/>
        </w:rPr>
      </w:pPr>
      <w:r>
        <w:rPr>
          <w:rFonts w:hint="eastAsia"/>
          <w:b/>
          <w:bCs/>
          <w:lang w:val="en-US" w:eastAsia="zh-CN"/>
        </w:rPr>
        <w:t xml:space="preserve">Proposal 4: RAN2 to confirm that the </w:t>
      </w:r>
      <w:r>
        <w:rPr>
          <w:rFonts w:hint="eastAsia" w:eastAsia="Batang"/>
          <w:b/>
          <w:bCs/>
        </w:rPr>
        <w:t>mobile-IAB cell type indication</w:t>
      </w:r>
      <w:r>
        <w:rPr>
          <w:rFonts w:hint="eastAsia"/>
          <w:b/>
          <w:bCs/>
          <w:lang w:val="en-US" w:eastAsia="zh-CN"/>
        </w:rPr>
        <w:t xml:space="preserve"> is broadcast by mobile IAB cell.</w:t>
      </w:r>
    </w:p>
    <w:bookmarkEnd w:id="0"/>
    <w:p>
      <w:pPr>
        <w:pStyle w:val="2"/>
        <w:jc w:val="both"/>
        <w:rPr>
          <w:rFonts w:eastAsia="宋体"/>
          <w:lang w:eastAsia="zh-CN"/>
        </w:rPr>
      </w:pPr>
      <w:bookmarkStart w:id="3" w:name="_GoBack"/>
      <w:bookmarkEnd w:id="3"/>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lang w:val="en-US" w:eastAsia="zh-CN"/>
        </w:rPr>
      </w:pPr>
      <w:r>
        <w:rPr>
          <w:lang w:val="en-US" w:eastAsia="zh-CN"/>
        </w:rPr>
        <w:t xml:space="preserve">In this contribution, </w:t>
      </w:r>
      <w:r>
        <w:rPr>
          <w:rFonts w:hint="eastAsia"/>
          <w:lang w:val="en-US" w:eastAsia="zh-CN"/>
        </w:rPr>
        <w:t>we focus on the remaining issues for mobile IAB and present our point of view</w:t>
      </w:r>
      <w:r>
        <w:rPr>
          <w:lang w:val="en-US" w:eastAsia="zh-CN"/>
        </w:rPr>
        <w:t>.</w:t>
      </w:r>
      <w:r>
        <w:rPr>
          <w:rFonts w:hint="eastAsia"/>
          <w:lang w:val="en-US" w:eastAsia="zh-CN"/>
        </w:rPr>
        <w:t xml:space="preserve"> The following observations and proposals are given:</w:t>
      </w:r>
    </w:p>
    <w:p>
      <w:pPr>
        <w:jc w:val="both"/>
        <w:rPr>
          <w:rFonts w:hint="default"/>
          <w:lang w:val="en-US" w:eastAsia="zh-CN"/>
        </w:rPr>
      </w:pPr>
      <w:r>
        <w:rPr>
          <w:rFonts w:hint="eastAsia"/>
          <w:b/>
          <w:bCs/>
          <w:lang w:val="en-US" w:eastAsia="zh-CN"/>
        </w:rPr>
        <w:t>Observation 1: The working frequency and PCI of mobile IAB cell may change along with the movement of mobile IAB node. It is hard to pre-configure one or more frequency layer for the mobile IAB operation.</w:t>
      </w:r>
    </w:p>
    <w:p>
      <w:pPr>
        <w:jc w:val="both"/>
        <w:rPr>
          <w:rFonts w:hint="eastAsia"/>
          <w:b/>
          <w:bCs/>
          <w:lang w:val="en-US" w:eastAsia="zh-CN"/>
        </w:rPr>
      </w:pPr>
      <w:r>
        <w:rPr>
          <w:rFonts w:hint="eastAsia"/>
          <w:b/>
          <w:bCs/>
          <w:lang w:val="en-US" w:eastAsia="zh-CN"/>
        </w:rPr>
        <w:t xml:space="preserve">Observation 2: Due to the mobile nature of mobile IAB cells, surrounding stationary cells has to dynamically update its neighbour cell relation table (NCRT) and system information if it is required capture the occasionally appeared mobile IAB cells. </w:t>
      </w:r>
    </w:p>
    <w:p>
      <w:pPr>
        <w:jc w:val="both"/>
        <w:rPr>
          <w:rFonts w:hint="eastAsia"/>
          <w:b/>
          <w:bCs/>
          <w:lang w:val="en-US" w:eastAsia="zh-CN"/>
        </w:rPr>
      </w:pPr>
    </w:p>
    <w:p>
      <w:pPr>
        <w:jc w:val="both"/>
        <w:rPr>
          <w:b/>
          <w:bCs/>
        </w:rPr>
      </w:pPr>
      <w:r>
        <w:rPr>
          <w:rFonts w:hint="eastAsia"/>
          <w:b/>
          <w:bCs/>
          <w:lang w:val="en-US" w:eastAsia="zh-CN"/>
        </w:rPr>
        <w:t xml:space="preserve">Proposal 1: Considering no dedicated working frequency and PCI for mobile IAB cell and the dynamic presence of mobile IAB cell, it is not recommended for the surrounding stationary cells to include the list of frequencies or PCIs for IAB cells in system information. </w:t>
      </w:r>
      <w:r>
        <w:rPr>
          <w:b/>
          <w:bCs/>
        </w:rPr>
        <w:t xml:space="preserve"> </w:t>
      </w:r>
    </w:p>
    <w:p>
      <w:pPr>
        <w:jc w:val="both"/>
        <w:rPr>
          <w:rFonts w:hint="eastAsia"/>
          <w:b/>
          <w:bCs/>
          <w:lang w:val="en-US" w:eastAsia="zh-CN"/>
        </w:rPr>
      </w:pPr>
      <w:r>
        <w:rPr>
          <w:rFonts w:hint="eastAsia"/>
          <w:b/>
          <w:bCs/>
          <w:lang w:val="en-US" w:eastAsia="zh-CN"/>
        </w:rPr>
        <w:t>Proposal 2: It can be up to the donor CU</w:t>
      </w:r>
      <w:r>
        <w:rPr>
          <w:rFonts w:hint="default"/>
          <w:b/>
          <w:bCs/>
          <w:lang w:val="en-US" w:eastAsia="zh-CN"/>
        </w:rPr>
        <w:t>’</w:t>
      </w:r>
      <w:r>
        <w:rPr>
          <w:rFonts w:hint="eastAsia"/>
          <w:b/>
          <w:bCs/>
          <w:lang w:val="en-US" w:eastAsia="zh-CN"/>
        </w:rPr>
        <w:t>s implementation to configure radio resource on higher or equal priority frequency for mobile IAB cell, which can address the concern in Problem 1.</w:t>
      </w:r>
    </w:p>
    <w:p>
      <w:pPr>
        <w:jc w:val="both"/>
        <w:rPr>
          <w:rFonts w:hint="eastAsia"/>
          <w:lang w:val="en-US" w:eastAsia="zh-CN"/>
        </w:rPr>
      </w:pPr>
      <w:r>
        <w:rPr>
          <w:rFonts w:hint="eastAsia"/>
          <w:b/>
          <w:bCs/>
        </w:rPr>
        <w:t xml:space="preserve">Proposal </w:t>
      </w:r>
      <w:r>
        <w:rPr>
          <w:rFonts w:hint="eastAsia"/>
          <w:b/>
          <w:bCs/>
          <w:lang w:val="en-US" w:eastAsia="zh-CN"/>
        </w:rPr>
        <w:t>3</w:t>
      </w:r>
      <w:r>
        <w:rPr>
          <w:rFonts w:hint="eastAsia"/>
          <w:b/>
          <w:bCs/>
        </w:rPr>
        <w:t xml:space="preserve">: </w:t>
      </w:r>
      <w:r>
        <w:rPr>
          <w:rFonts w:hint="eastAsia"/>
          <w:b/>
          <w:bCs/>
          <w:lang w:val="en-US" w:eastAsia="zh-CN"/>
        </w:rPr>
        <w:t xml:space="preserve">To address the concern in Problem 2, it is suggested that </w:t>
      </w:r>
      <w:r>
        <w:rPr>
          <w:rFonts w:hint="eastAsia"/>
          <w:b/>
          <w:bCs/>
        </w:rPr>
        <w:t>UE camped on mobile IAB cell regard</w:t>
      </w:r>
      <w:r>
        <w:rPr>
          <w:rFonts w:hint="eastAsia"/>
          <w:b/>
          <w:bCs/>
          <w:lang w:val="en-US" w:eastAsia="zh-CN"/>
        </w:rPr>
        <w:t>s</w:t>
      </w:r>
      <w:r>
        <w:rPr>
          <w:rFonts w:hint="eastAsia"/>
          <w:b/>
          <w:bCs/>
        </w:rPr>
        <w:t xml:space="preserve"> the frequency which provide mobile IAB cell to be the highest priority</w:t>
      </w:r>
      <w:r>
        <w:rPr>
          <w:rFonts w:hint="eastAsia"/>
          <w:b/>
          <w:bCs/>
          <w:lang w:val="en-US" w:eastAsia="zh-CN"/>
        </w:rPr>
        <w:t xml:space="preserve"> so as t</w:t>
      </w:r>
      <w:r>
        <w:rPr>
          <w:rFonts w:hint="eastAsia"/>
          <w:b/>
          <w:bCs/>
        </w:rPr>
        <w:t>o avoid unnecessary inter-frequency measurement with high priority.</w:t>
      </w:r>
    </w:p>
    <w:p>
      <w:pPr>
        <w:jc w:val="left"/>
        <w:rPr>
          <w:b/>
          <w:bCs/>
          <w:lang w:val="en-US" w:eastAsia="zh-CN"/>
        </w:rPr>
      </w:pPr>
      <w:r>
        <w:rPr>
          <w:rFonts w:hint="eastAsia"/>
          <w:b/>
          <w:bCs/>
          <w:lang w:val="en-US" w:eastAsia="zh-CN"/>
        </w:rPr>
        <w:t xml:space="preserve">Proposal 4: RAN2 to confirm that the </w:t>
      </w:r>
      <w:r>
        <w:rPr>
          <w:rFonts w:hint="eastAsia" w:eastAsia="Batang"/>
          <w:b/>
          <w:bCs/>
        </w:rPr>
        <w:t>mobile-IAB cell type indication</w:t>
      </w:r>
      <w:r>
        <w:rPr>
          <w:rFonts w:hint="eastAsia"/>
          <w:b/>
          <w:bCs/>
          <w:lang w:val="en-US" w:eastAsia="zh-CN"/>
        </w:rPr>
        <w:t xml:space="preserve"> is broadcast by mobile IAB cell.</w:t>
      </w:r>
    </w:p>
    <w:p>
      <w:pPr>
        <w:pStyle w:val="2"/>
        <w:rPr>
          <w:rFonts w:eastAsia="宋体"/>
          <w:lang w:eastAsia="zh-CN"/>
        </w:rPr>
      </w:pPr>
      <w:r>
        <w:rPr>
          <w:rFonts w:hint="eastAsia" w:eastAsia="宋体"/>
          <w:lang w:eastAsia="zh-CN"/>
        </w:rPr>
        <w:t>Reference</w:t>
      </w:r>
    </w:p>
    <w:p>
      <w:pPr>
        <w:numPr>
          <w:ilvl w:val="0"/>
          <w:numId w:val="15"/>
        </w:numPr>
        <w:rPr>
          <w:lang w:val="en-US" w:eastAsia="zh-CN"/>
        </w:rPr>
      </w:pPr>
      <w:r>
        <w:rPr>
          <w:rFonts w:hint="eastAsia"/>
          <w:lang w:val="en-US" w:eastAsia="zh-CN"/>
        </w:rPr>
        <w:t>RAN2#1</w:t>
      </w:r>
      <w:r>
        <w:rPr>
          <w:lang w:val="en-US" w:eastAsia="zh-CN"/>
        </w:rPr>
        <w:t>2</w:t>
      </w:r>
      <w:r>
        <w:rPr>
          <w:rFonts w:hint="eastAsia"/>
          <w:lang w:val="en-US" w:eastAsia="zh-CN"/>
        </w:rPr>
        <w:t>2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5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B2BDBB81"/>
    <w:multiLevelType w:val="singleLevel"/>
    <w:tmpl w:val="B2BDBB81"/>
    <w:lvl w:ilvl="0" w:tentative="0">
      <w:start w:val="1"/>
      <w:numFmt w:val="decimal"/>
      <w:suff w:val="space"/>
      <w:lvlText w:val="%1)"/>
      <w:lvlJc w:val="left"/>
    </w:lvl>
  </w:abstractNum>
  <w:abstractNum w:abstractNumId="2">
    <w:nsid w:val="B52B6FB0"/>
    <w:multiLevelType w:val="singleLevel"/>
    <w:tmpl w:val="B52B6FB0"/>
    <w:lvl w:ilvl="0" w:tentative="0">
      <w:start w:val="1"/>
      <w:numFmt w:val="bullet"/>
      <w:lvlText w:val=""/>
      <w:lvlJc w:val="left"/>
      <w:pPr>
        <w:ind w:left="42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4">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2">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11"/>
  </w:num>
  <w:num w:numId="4">
    <w:abstractNumId w:val="7"/>
  </w:num>
  <w:num w:numId="5">
    <w:abstractNumId w:val="12"/>
  </w:num>
  <w:num w:numId="6">
    <w:abstractNumId w:val="9"/>
  </w:num>
  <w:num w:numId="7">
    <w:abstractNumId w:val="6"/>
  </w:num>
  <w:num w:numId="8">
    <w:abstractNumId w:val="14"/>
  </w:num>
  <w:num w:numId="9">
    <w:abstractNumId w:val="4"/>
  </w:num>
  <w:num w:numId="10">
    <w:abstractNumId w:val="13"/>
  </w:num>
  <w:num w:numId="11">
    <w:abstractNumId w:val="10"/>
  </w:num>
  <w:num w:numId="12">
    <w:abstractNumId w:val="8"/>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CC3"/>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3D3"/>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6F3D"/>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162"/>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5F02"/>
    <w:rsid w:val="000D5FAE"/>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3C25"/>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776"/>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0A4"/>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3DCE"/>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EB9"/>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800"/>
    <w:rsid w:val="00226AF5"/>
    <w:rsid w:val="002277A5"/>
    <w:rsid w:val="002277C5"/>
    <w:rsid w:val="00227B6C"/>
    <w:rsid w:val="00227CA3"/>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9F4"/>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8D4"/>
    <w:rsid w:val="002B3EFA"/>
    <w:rsid w:val="002B4933"/>
    <w:rsid w:val="002B49AC"/>
    <w:rsid w:val="002B4A9F"/>
    <w:rsid w:val="002B4C2C"/>
    <w:rsid w:val="002B4FA8"/>
    <w:rsid w:val="002B53B9"/>
    <w:rsid w:val="002B54B1"/>
    <w:rsid w:val="002B565A"/>
    <w:rsid w:val="002B5700"/>
    <w:rsid w:val="002B579C"/>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3E68"/>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0C7"/>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347"/>
    <w:rsid w:val="00436715"/>
    <w:rsid w:val="004367D9"/>
    <w:rsid w:val="00436F95"/>
    <w:rsid w:val="00437000"/>
    <w:rsid w:val="00437A99"/>
    <w:rsid w:val="00440408"/>
    <w:rsid w:val="004414A9"/>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9F5"/>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7F0"/>
    <w:rsid w:val="004C2F20"/>
    <w:rsid w:val="004C302A"/>
    <w:rsid w:val="004C3132"/>
    <w:rsid w:val="004C361A"/>
    <w:rsid w:val="004C4F8C"/>
    <w:rsid w:val="004C4FA4"/>
    <w:rsid w:val="004C5480"/>
    <w:rsid w:val="004C5649"/>
    <w:rsid w:val="004C67C6"/>
    <w:rsid w:val="004C6DB3"/>
    <w:rsid w:val="004C6F3E"/>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679"/>
    <w:rsid w:val="00570D10"/>
    <w:rsid w:val="0057112E"/>
    <w:rsid w:val="00571265"/>
    <w:rsid w:val="00571378"/>
    <w:rsid w:val="005713FB"/>
    <w:rsid w:val="00571966"/>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4C6F"/>
    <w:rsid w:val="005E5264"/>
    <w:rsid w:val="005E5416"/>
    <w:rsid w:val="005E5A4E"/>
    <w:rsid w:val="005E5BC1"/>
    <w:rsid w:val="005E61D9"/>
    <w:rsid w:val="005E620A"/>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4FA"/>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3C6"/>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3E0E"/>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3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5C"/>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491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7CB"/>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3A9"/>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1EC8"/>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3E14"/>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EF3"/>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5EB0"/>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2F9A"/>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55"/>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BFD"/>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6B6ED6"/>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3140B"/>
    <w:rsid w:val="02CB0E0D"/>
    <w:rsid w:val="02D8526C"/>
    <w:rsid w:val="02EB38B9"/>
    <w:rsid w:val="02EE0E74"/>
    <w:rsid w:val="02F00BEE"/>
    <w:rsid w:val="02F22456"/>
    <w:rsid w:val="030026D0"/>
    <w:rsid w:val="0300644B"/>
    <w:rsid w:val="03024BFE"/>
    <w:rsid w:val="03045E57"/>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2498F"/>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E335A9"/>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B917B5"/>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5F4A55"/>
    <w:rsid w:val="096B03FF"/>
    <w:rsid w:val="096F4744"/>
    <w:rsid w:val="096F777B"/>
    <w:rsid w:val="098113B0"/>
    <w:rsid w:val="09823672"/>
    <w:rsid w:val="09A343B5"/>
    <w:rsid w:val="09B55CF9"/>
    <w:rsid w:val="09BC2E8E"/>
    <w:rsid w:val="09BD0931"/>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BB2F53"/>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8F0F56"/>
    <w:rsid w:val="0D930B9B"/>
    <w:rsid w:val="0D9533A2"/>
    <w:rsid w:val="0D9B02A5"/>
    <w:rsid w:val="0DAB6775"/>
    <w:rsid w:val="0DB827DE"/>
    <w:rsid w:val="0DCD68E1"/>
    <w:rsid w:val="0DD6175F"/>
    <w:rsid w:val="0DFF33E2"/>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C36C8"/>
    <w:rsid w:val="0F5828A8"/>
    <w:rsid w:val="0F5F0E06"/>
    <w:rsid w:val="0F640159"/>
    <w:rsid w:val="0F6C61FA"/>
    <w:rsid w:val="0F6C7B75"/>
    <w:rsid w:val="0F7052E6"/>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7520C"/>
    <w:rsid w:val="103F1735"/>
    <w:rsid w:val="10442CB0"/>
    <w:rsid w:val="104500A8"/>
    <w:rsid w:val="104F012F"/>
    <w:rsid w:val="1051046A"/>
    <w:rsid w:val="106606A4"/>
    <w:rsid w:val="106C17A6"/>
    <w:rsid w:val="107A0C72"/>
    <w:rsid w:val="10810AA8"/>
    <w:rsid w:val="10880446"/>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AB2922"/>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EC4AA5"/>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D6BA0"/>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A31B6A"/>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399B"/>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1B32"/>
    <w:rsid w:val="1A894F17"/>
    <w:rsid w:val="1A8D7BE0"/>
    <w:rsid w:val="1A986421"/>
    <w:rsid w:val="1A9A7539"/>
    <w:rsid w:val="1AA03E54"/>
    <w:rsid w:val="1AA11FE9"/>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05DE3"/>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B0ABA"/>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77933"/>
    <w:rsid w:val="1E696878"/>
    <w:rsid w:val="1E76494F"/>
    <w:rsid w:val="1E906FE9"/>
    <w:rsid w:val="1E94288A"/>
    <w:rsid w:val="1EA40027"/>
    <w:rsid w:val="1EB50B50"/>
    <w:rsid w:val="1EBA31B8"/>
    <w:rsid w:val="1EBD6AFE"/>
    <w:rsid w:val="1EC24C3E"/>
    <w:rsid w:val="1ECD43D6"/>
    <w:rsid w:val="1EDE2EB1"/>
    <w:rsid w:val="1EE26F09"/>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3EA"/>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964D08"/>
    <w:rsid w:val="21A61743"/>
    <w:rsid w:val="21AE0533"/>
    <w:rsid w:val="21B5378E"/>
    <w:rsid w:val="21CE6894"/>
    <w:rsid w:val="21D66EB2"/>
    <w:rsid w:val="21D677FD"/>
    <w:rsid w:val="21E359B2"/>
    <w:rsid w:val="22011200"/>
    <w:rsid w:val="22067AB1"/>
    <w:rsid w:val="220C6CB6"/>
    <w:rsid w:val="220D51F5"/>
    <w:rsid w:val="220D76C7"/>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617FE"/>
    <w:rsid w:val="24795B8F"/>
    <w:rsid w:val="247A5489"/>
    <w:rsid w:val="247F6E82"/>
    <w:rsid w:val="24837726"/>
    <w:rsid w:val="24845BF9"/>
    <w:rsid w:val="2489673F"/>
    <w:rsid w:val="24932814"/>
    <w:rsid w:val="24975026"/>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B622D6"/>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5F59FB"/>
    <w:rsid w:val="266555A1"/>
    <w:rsid w:val="2669016B"/>
    <w:rsid w:val="266979EC"/>
    <w:rsid w:val="267366B5"/>
    <w:rsid w:val="267A50E3"/>
    <w:rsid w:val="26940FAA"/>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25570"/>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618BB"/>
    <w:rsid w:val="29FD37E2"/>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86195"/>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8D6E76"/>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91884"/>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30903"/>
    <w:rsid w:val="2D3523C5"/>
    <w:rsid w:val="2D3D77C2"/>
    <w:rsid w:val="2D4957EB"/>
    <w:rsid w:val="2D4F527C"/>
    <w:rsid w:val="2D5233D5"/>
    <w:rsid w:val="2D64342C"/>
    <w:rsid w:val="2D644C4A"/>
    <w:rsid w:val="2D810A54"/>
    <w:rsid w:val="2D880A3C"/>
    <w:rsid w:val="2D914D1C"/>
    <w:rsid w:val="2DA17515"/>
    <w:rsid w:val="2DA64F75"/>
    <w:rsid w:val="2DAE5715"/>
    <w:rsid w:val="2DCE3801"/>
    <w:rsid w:val="2DD61BAF"/>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0A6A"/>
    <w:rsid w:val="2F323B43"/>
    <w:rsid w:val="2F7215C9"/>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13724"/>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063F92"/>
    <w:rsid w:val="311A5DEA"/>
    <w:rsid w:val="311C73B4"/>
    <w:rsid w:val="311F55F5"/>
    <w:rsid w:val="312B2EBD"/>
    <w:rsid w:val="313200C2"/>
    <w:rsid w:val="313860E8"/>
    <w:rsid w:val="314E0F4E"/>
    <w:rsid w:val="31581D78"/>
    <w:rsid w:val="31585E6C"/>
    <w:rsid w:val="31620B84"/>
    <w:rsid w:val="316371DA"/>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A7BE0"/>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CD198F"/>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503097"/>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1DEF"/>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D54D3"/>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02210"/>
    <w:rsid w:val="37B62A54"/>
    <w:rsid w:val="37B936C4"/>
    <w:rsid w:val="37BA6B56"/>
    <w:rsid w:val="37C33968"/>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D3642"/>
    <w:rsid w:val="399F6BF2"/>
    <w:rsid w:val="39AC7FB9"/>
    <w:rsid w:val="39C13BDE"/>
    <w:rsid w:val="39CD394E"/>
    <w:rsid w:val="39D7602C"/>
    <w:rsid w:val="39E46CE2"/>
    <w:rsid w:val="39E6596C"/>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997A92"/>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676CD"/>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9B08CE"/>
    <w:rsid w:val="3CA012D3"/>
    <w:rsid w:val="3CAF3656"/>
    <w:rsid w:val="3CB9591F"/>
    <w:rsid w:val="3CCA684F"/>
    <w:rsid w:val="3CD26FAD"/>
    <w:rsid w:val="3CD87CE5"/>
    <w:rsid w:val="3CDB68D4"/>
    <w:rsid w:val="3CEF06FE"/>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5027"/>
    <w:rsid w:val="3D822306"/>
    <w:rsid w:val="3D846601"/>
    <w:rsid w:val="3D8D4C5B"/>
    <w:rsid w:val="3D990950"/>
    <w:rsid w:val="3D9B563C"/>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8E4694"/>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6F46F4"/>
    <w:rsid w:val="3F73683D"/>
    <w:rsid w:val="3F8F2470"/>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2844"/>
    <w:rsid w:val="403F66AE"/>
    <w:rsid w:val="40616B63"/>
    <w:rsid w:val="40626A97"/>
    <w:rsid w:val="40795CC3"/>
    <w:rsid w:val="409D37D8"/>
    <w:rsid w:val="40A3094D"/>
    <w:rsid w:val="40A416F9"/>
    <w:rsid w:val="40B871C9"/>
    <w:rsid w:val="40C61BF7"/>
    <w:rsid w:val="40CE4174"/>
    <w:rsid w:val="40CF1488"/>
    <w:rsid w:val="40D20597"/>
    <w:rsid w:val="40D24EE6"/>
    <w:rsid w:val="40D637A8"/>
    <w:rsid w:val="40DC577F"/>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6D553E"/>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5F7783"/>
    <w:rsid w:val="43610390"/>
    <w:rsid w:val="43655414"/>
    <w:rsid w:val="436C45D3"/>
    <w:rsid w:val="437C2A06"/>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38124B"/>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7643A"/>
    <w:rsid w:val="44980F16"/>
    <w:rsid w:val="44A941C7"/>
    <w:rsid w:val="44AA6EDB"/>
    <w:rsid w:val="44B75D58"/>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31F35"/>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2F623C"/>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E3155"/>
    <w:rsid w:val="46DF5EEA"/>
    <w:rsid w:val="46E05056"/>
    <w:rsid w:val="46E37DAA"/>
    <w:rsid w:val="46E417EE"/>
    <w:rsid w:val="46E805C1"/>
    <w:rsid w:val="46E96B79"/>
    <w:rsid w:val="46EA0145"/>
    <w:rsid w:val="46F7784E"/>
    <w:rsid w:val="46FE26FD"/>
    <w:rsid w:val="47022B62"/>
    <w:rsid w:val="470275A3"/>
    <w:rsid w:val="47051284"/>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A62A8"/>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4D1926"/>
    <w:rsid w:val="49534A38"/>
    <w:rsid w:val="49577F5B"/>
    <w:rsid w:val="49590A49"/>
    <w:rsid w:val="495D420F"/>
    <w:rsid w:val="496F3829"/>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535B0F"/>
    <w:rsid w:val="4B5D208D"/>
    <w:rsid w:val="4B622E6E"/>
    <w:rsid w:val="4B682317"/>
    <w:rsid w:val="4B745F0D"/>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D16ED"/>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CF9556E"/>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AF5B07"/>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0ED03FF"/>
    <w:rsid w:val="5106299D"/>
    <w:rsid w:val="51075B17"/>
    <w:rsid w:val="5111310C"/>
    <w:rsid w:val="51143632"/>
    <w:rsid w:val="511545C1"/>
    <w:rsid w:val="511B61E3"/>
    <w:rsid w:val="511F667B"/>
    <w:rsid w:val="512310E9"/>
    <w:rsid w:val="512D47FF"/>
    <w:rsid w:val="513C5240"/>
    <w:rsid w:val="514149D4"/>
    <w:rsid w:val="514E11E7"/>
    <w:rsid w:val="51531D4F"/>
    <w:rsid w:val="515C0C00"/>
    <w:rsid w:val="516F1636"/>
    <w:rsid w:val="51732223"/>
    <w:rsid w:val="517367F4"/>
    <w:rsid w:val="51737331"/>
    <w:rsid w:val="51776538"/>
    <w:rsid w:val="517F3D75"/>
    <w:rsid w:val="518749EC"/>
    <w:rsid w:val="51986034"/>
    <w:rsid w:val="519A644E"/>
    <w:rsid w:val="51A23103"/>
    <w:rsid w:val="51B425EC"/>
    <w:rsid w:val="51B756B8"/>
    <w:rsid w:val="51B948A5"/>
    <w:rsid w:val="51BC3A00"/>
    <w:rsid w:val="51C12CF0"/>
    <w:rsid w:val="51C60563"/>
    <w:rsid w:val="51D63FC6"/>
    <w:rsid w:val="51DE19D8"/>
    <w:rsid w:val="51E13ADB"/>
    <w:rsid w:val="51ED7FCF"/>
    <w:rsid w:val="51F03019"/>
    <w:rsid w:val="52004D55"/>
    <w:rsid w:val="52151506"/>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8D602A"/>
    <w:rsid w:val="54935BBB"/>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258A2"/>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565CD"/>
    <w:rsid w:val="564134FF"/>
    <w:rsid w:val="564239D9"/>
    <w:rsid w:val="56465132"/>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07B53"/>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112F1"/>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318"/>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D775B6"/>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15E16"/>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66A7D"/>
    <w:rsid w:val="5DBB1833"/>
    <w:rsid w:val="5DBD4FB2"/>
    <w:rsid w:val="5DC10AA6"/>
    <w:rsid w:val="5DCB38D8"/>
    <w:rsid w:val="5DCC0302"/>
    <w:rsid w:val="5DCC1273"/>
    <w:rsid w:val="5DD720A6"/>
    <w:rsid w:val="5DDC3084"/>
    <w:rsid w:val="5DDD06E5"/>
    <w:rsid w:val="5DE30993"/>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743FAC"/>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0F65F2"/>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5386F"/>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369C0"/>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52E22"/>
    <w:rsid w:val="64ED25B6"/>
    <w:rsid w:val="64ED74A4"/>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0630D9"/>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0155C"/>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94E80"/>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81E44"/>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B2377"/>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9A069D"/>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83696"/>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A20087"/>
    <w:rsid w:val="6EB776F8"/>
    <w:rsid w:val="6EB85F03"/>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81B44"/>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207C5"/>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ED02C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5107B"/>
    <w:rsid w:val="7658118F"/>
    <w:rsid w:val="765834E9"/>
    <w:rsid w:val="766948B0"/>
    <w:rsid w:val="766C44F4"/>
    <w:rsid w:val="766D53BF"/>
    <w:rsid w:val="766E40AB"/>
    <w:rsid w:val="767107D4"/>
    <w:rsid w:val="767E67CD"/>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6FE7A96"/>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8C5D91"/>
    <w:rsid w:val="79B7133F"/>
    <w:rsid w:val="79B963A4"/>
    <w:rsid w:val="79BA2F94"/>
    <w:rsid w:val="79BC264E"/>
    <w:rsid w:val="79C76293"/>
    <w:rsid w:val="79E57E94"/>
    <w:rsid w:val="79E6205E"/>
    <w:rsid w:val="79E67EB2"/>
    <w:rsid w:val="79E72FBE"/>
    <w:rsid w:val="79E7444C"/>
    <w:rsid w:val="79EE7B9C"/>
    <w:rsid w:val="7A061B69"/>
    <w:rsid w:val="7A0C2A78"/>
    <w:rsid w:val="7A0D0808"/>
    <w:rsid w:val="7A12745C"/>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A1CE7"/>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3A6A6B"/>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246BE"/>
    <w:rsid w:val="7CE84DF9"/>
    <w:rsid w:val="7CF27393"/>
    <w:rsid w:val="7CF56037"/>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133C6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99"/>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pPr>
    <w:rPr>
      <w:rFonts w:eastAsia="MS Mincho"/>
      <w:b/>
      <w:szCs w:val="24"/>
      <w:lang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tabs>
        <w:tab w:val="left" w:pos="1080"/>
      </w:tabs>
      <w:spacing w:line="480" w:lineRule="auto"/>
    </w:pPr>
    <w:rPr>
      <w:sz w:val="24"/>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rPr>
      <w:rFonts w:eastAsia="宋体"/>
      <w:lang w:val="en-GB" w:eastAsia="en-US" w:bidi="ar-SA"/>
    </w:rPr>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66">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1938</Words>
  <Characters>11051</Characters>
  <Lines>92</Lines>
  <Paragraphs>25</Paragraphs>
  <TotalTime>0</TotalTime>
  <ScaleCrop>false</ScaleCrop>
  <LinksUpToDate>false</LinksUpToDate>
  <CharactersWithSpaces>12964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2023-08-11T07:27:55Z</dcterms:modified>
  <dc:title>3GPP TSG-RAN WG2</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